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00" w:rsidRDefault="002D2500" w:rsidP="002F3666">
      <w:pPr>
        <w:pStyle w:val="NoSpacing"/>
      </w:pPr>
      <w:bookmarkStart w:id="0" w:name="_GoBack"/>
      <w:bookmarkEnd w:id="0"/>
    </w:p>
    <w:p w:rsidR="002D2500" w:rsidRPr="00167A0C" w:rsidRDefault="002D2500" w:rsidP="002F3666">
      <w:pPr>
        <w:pStyle w:val="NoSpacing"/>
        <w:rPr>
          <w:b/>
          <w:sz w:val="32"/>
          <w:szCs w:val="32"/>
        </w:rPr>
      </w:pPr>
      <w:r w:rsidRPr="00167A0C">
        <w:rPr>
          <w:b/>
          <w:sz w:val="32"/>
          <w:szCs w:val="32"/>
        </w:rPr>
        <w:t>Collection Security: benchmark questionnaire</w:t>
      </w:r>
    </w:p>
    <w:p w:rsidR="002D2500" w:rsidRDefault="002D2500" w:rsidP="002F3666">
      <w:pPr>
        <w:pStyle w:val="NoSpacing"/>
      </w:pPr>
      <w:r>
        <w:t xml:space="preserve"> </w:t>
      </w:r>
    </w:p>
    <w:p w:rsidR="002D2500" w:rsidRDefault="002D2500" w:rsidP="002F3666">
      <w:pPr>
        <w:pStyle w:val="NoSpacing"/>
      </w:pPr>
      <w:r>
        <w:t>1. Name of institution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2. How many staff does your institution employ?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  <w:numPr>
          <w:ilvl w:val="0"/>
          <w:numId w:val="2"/>
        </w:numPr>
      </w:pPr>
      <w:r>
        <w:t>up to 50</w:t>
      </w:r>
    </w:p>
    <w:p w:rsidR="002D2500" w:rsidRDefault="002D2500" w:rsidP="002F3666">
      <w:pPr>
        <w:pStyle w:val="NoSpacing"/>
        <w:numPr>
          <w:ilvl w:val="0"/>
          <w:numId w:val="2"/>
        </w:numPr>
      </w:pPr>
      <w:r>
        <w:t>51 - 100</w:t>
      </w:r>
    </w:p>
    <w:p w:rsidR="002D2500" w:rsidRDefault="002D2500" w:rsidP="002F3666">
      <w:pPr>
        <w:pStyle w:val="NoSpacing"/>
        <w:numPr>
          <w:ilvl w:val="0"/>
          <w:numId w:val="2"/>
        </w:numPr>
      </w:pPr>
      <w:r>
        <w:t>101 - 200</w:t>
      </w:r>
    </w:p>
    <w:p w:rsidR="002D2500" w:rsidRDefault="002D2500" w:rsidP="002F3666">
      <w:pPr>
        <w:pStyle w:val="NoSpacing"/>
        <w:numPr>
          <w:ilvl w:val="0"/>
          <w:numId w:val="2"/>
        </w:numPr>
      </w:pPr>
      <w:r>
        <w:t>201 - 300</w:t>
      </w:r>
    </w:p>
    <w:p w:rsidR="002D2500" w:rsidRDefault="002F3666" w:rsidP="002F3666">
      <w:pPr>
        <w:pStyle w:val="NoSpacing"/>
        <w:numPr>
          <w:ilvl w:val="0"/>
          <w:numId w:val="2"/>
        </w:numPr>
      </w:pPr>
      <w:r>
        <w:t>3</w:t>
      </w:r>
      <w:r w:rsidR="002D2500">
        <w:t>01 - 400</w:t>
      </w:r>
    </w:p>
    <w:p w:rsidR="002D2500" w:rsidRDefault="002D2500" w:rsidP="002F3666">
      <w:pPr>
        <w:pStyle w:val="NoSpacing"/>
        <w:numPr>
          <w:ilvl w:val="0"/>
          <w:numId w:val="2"/>
        </w:numPr>
      </w:pPr>
      <w:r>
        <w:t>401+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3. Your institution is best described as a: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  <w:numPr>
          <w:ilvl w:val="0"/>
          <w:numId w:val="7"/>
        </w:numPr>
      </w:pPr>
      <w:r>
        <w:t>national / state collection</w:t>
      </w:r>
    </w:p>
    <w:p w:rsidR="002D2500" w:rsidRDefault="002D2500" w:rsidP="002F3666">
      <w:pPr>
        <w:pStyle w:val="NoSpacing"/>
        <w:numPr>
          <w:ilvl w:val="0"/>
          <w:numId w:val="7"/>
        </w:numPr>
      </w:pPr>
      <w:r>
        <w:t>research library</w:t>
      </w:r>
    </w:p>
    <w:p w:rsidR="002D2500" w:rsidRDefault="002D2500" w:rsidP="002F3666">
      <w:pPr>
        <w:pStyle w:val="NoSpacing"/>
        <w:numPr>
          <w:ilvl w:val="0"/>
          <w:numId w:val="7"/>
        </w:numPr>
      </w:pPr>
      <w:r>
        <w:t>university / academic library</w:t>
      </w:r>
    </w:p>
    <w:p w:rsidR="002D2500" w:rsidRDefault="002D2500" w:rsidP="002F3666">
      <w:pPr>
        <w:pStyle w:val="NoSpacing"/>
        <w:numPr>
          <w:ilvl w:val="0"/>
          <w:numId w:val="7"/>
        </w:numPr>
      </w:pPr>
      <w:r>
        <w:t>archive</w:t>
      </w:r>
    </w:p>
    <w:p w:rsidR="002D2500" w:rsidRDefault="002D2500" w:rsidP="002F3666">
      <w:pPr>
        <w:pStyle w:val="NoSpacing"/>
        <w:numPr>
          <w:ilvl w:val="0"/>
          <w:numId w:val="7"/>
        </w:numPr>
      </w:pPr>
      <w:r>
        <w:t>private library</w:t>
      </w:r>
    </w:p>
    <w:p w:rsidR="002D2500" w:rsidRDefault="002D2500" w:rsidP="002F3666">
      <w:pPr>
        <w:pStyle w:val="NoSpacing"/>
        <w:numPr>
          <w:ilvl w:val="0"/>
          <w:numId w:val="7"/>
        </w:numPr>
      </w:pPr>
      <w:r>
        <w:t>contains more than one medium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4. Indicate the approximate size of your collection by either stating how many items you have, or how many kilometres of shelving you have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  <w:numPr>
          <w:ilvl w:val="0"/>
          <w:numId w:val="6"/>
        </w:numPr>
      </w:pPr>
      <w:r>
        <w:t>up to 100,000 items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between 100,000 - 500,000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between 500,000 - 2,500,000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between 2,500,000 - 10,000,000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between 10,000,000 - 50,000,000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over 50,000,000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under 2 km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between 2 &amp; 10 km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between 10 &amp; 50 km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between 50 and 200 km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between 200 and 1,000 km</w:t>
      </w:r>
    </w:p>
    <w:p w:rsidR="002D2500" w:rsidRDefault="002D2500" w:rsidP="002F3666">
      <w:pPr>
        <w:pStyle w:val="NoSpacing"/>
        <w:numPr>
          <w:ilvl w:val="0"/>
          <w:numId w:val="6"/>
        </w:numPr>
      </w:pPr>
      <w:r>
        <w:t>over 1000 km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5. Your job title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6. Your mission statement expresses a commitment to ensuring the security of your collection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lastRenderedPageBreak/>
        <w:t>7. Your most senior member of staff (e.g. Director, Chief Executive) has final accountability for the security of your collection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8. An annual report on the security of your collection is presented to your governing body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9. You have a Collection Security Policy (or set of policies) that sets out how you protect your collection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10. You have an agreed set of measures to provide assurance on the security of your collection and to assess compliance with your Collection Security Policy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11. Staff with authority for policies relating to the collection, including its management, storage, use, exhibition, conservation and transport, have input into the Collection Security Policy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12. Your policies and written procedures, including any sanctions you apply, are legally compliant and enforceable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13. You have an agreed written procedure for investigating, handling and documenting missing collection items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14. You have an agreed written procedure that details how you respond to instances of theft and mutilation / vandalism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lastRenderedPageBreak/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15. You report proven instances of theft immediately to the police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16. You report proven instances of theft to the relevant trade / professional bodies - e.g. the book trade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17. You share information on known threats to collection security with other libraries/archives when appropriate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18. You have procedures in place for crisis management, including crisis communication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19. Your collection security policies and procedures are kept under regular review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20. Collection security is taken into consideration in all collection management procedures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21. You maintain catalogue records for your collection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22. You include copy specific information in the catalogue records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lastRenderedPageBreak/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23. You maintain and retain accession records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24. You maintain information on distinguishing features in your collection (i.e. bindings, ownership stamps etc)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25. You place ownership marks in your collection items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26. You place shelf mark labels on your collection items where appropriate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27. You assess the security requirements of collection items, so that highly valuable/vulnerable items are identified and given increased protection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28. You have an agreed and documented disposals policy: disposed items have a clear cancellation stamp in them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29. You have measures in place to prevent unauthorised changes to your accession and catalogue records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30. Once surrogates (digital or microform) exist, Readers must use these, not the original collection item, unless there is an approved research reason to do so.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31. You audit / check your collection in the stacks to provide assurance on its security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32. You make and retain copies of high value items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33. Once a copy of a high value item has been made, the copy is used to produce further copies when needed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34. Once surrogates (digital or microform) exist, Readers must use these, not the original collection item, unless there is an approved research reason to do so.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35. Your collection is insured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36. Readers may only access your collection if they undertake to comply with your Reading Room rules and regulations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37. Readers are required to provide documentary proof of their identity and address, and have their photograph taken, before using your collection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lastRenderedPageBreak/>
        <w:t>38. You permanently retain information on the name, address and (where appropriate) institutional affiliation of every Reader, and a photograph of every Reader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39. Readers are not permitted to bring coats or large bags into your Reading Room, nor any object that might harm the collection (knives, blades, food, drink)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40. Readers' belongings are searched as they exit the Reading Room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41. You have agreed procedures for the use of uncatalogued items: this includes close invigilation by staff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42. Readers' use of highly valuable/vulnerable items is invigilated by staff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43. You limit the number of items that may be seen at any one time by Readers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44. Highly valuable/vulnerable collection items are inspected by staff before and after use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45. Highly valuable / vulnerable items are weighed before and after use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lastRenderedPageBreak/>
        <w:t>46. You have procedures in place for the use of material with restricted access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47. If legally permitted to do so, you permanently retain a record of collection use allowing you to identify the items used by each Reader, and to list all users of a particular item.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legally allowed to retain this information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48. Readers are not permitted access to collection storage areas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49. Readers are not permitted access to departments where collection items are processed (for example conservation or reprographic departments)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50. Staff must be authorised to access collection storage areas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51. Staff access to collection storage areas is restricted on the basis of need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52. Do you revise/audit authorized access to storage areas after a period of time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53. Staff access to collection storage areas is reviewed: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  <w:numPr>
          <w:ilvl w:val="0"/>
          <w:numId w:val="5"/>
        </w:numPr>
      </w:pPr>
      <w:r>
        <w:t>Every six months (or more frequently)</w:t>
      </w:r>
    </w:p>
    <w:p w:rsidR="002D2500" w:rsidRDefault="002D2500" w:rsidP="002F3666">
      <w:pPr>
        <w:pStyle w:val="NoSpacing"/>
        <w:numPr>
          <w:ilvl w:val="0"/>
          <w:numId w:val="5"/>
        </w:numPr>
      </w:pPr>
      <w:r>
        <w:t>Every year</w:t>
      </w:r>
    </w:p>
    <w:p w:rsidR="002D2500" w:rsidRDefault="002D2500" w:rsidP="002F3666">
      <w:pPr>
        <w:pStyle w:val="NoSpacing"/>
        <w:numPr>
          <w:ilvl w:val="0"/>
          <w:numId w:val="5"/>
        </w:numPr>
      </w:pPr>
      <w:r>
        <w:t>Every two years</w:t>
      </w:r>
    </w:p>
    <w:p w:rsidR="002D2500" w:rsidRDefault="002D2500" w:rsidP="002F3666">
      <w:pPr>
        <w:pStyle w:val="NoSpacing"/>
        <w:numPr>
          <w:ilvl w:val="0"/>
          <w:numId w:val="5"/>
        </w:numPr>
      </w:pPr>
      <w:r>
        <w:lastRenderedPageBreak/>
        <w:t>Every three years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54. Any person (e.g. contractors) who has not been fully security cleared, and who needs to access collection storage areas, is escorted at all times by a member of staff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55. The number of staff able to access Strong Rooms is strictly controlled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56. You have an agreed policy on the maximum time staff that staff may retain collection items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57. Staff must return items to storage if they are needed by a user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58. All points of access to your building(s) can be secured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59. You have a security presence in your building 24/7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60. Your security staff comply with nationally recognised professional codes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61. Response to the activation of the alarm system is within 2 - 5 minutes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lastRenderedPageBreak/>
        <w:t>62. There is CCTV coverage of the Reading Room areas where highly valuable/vulnerable items are used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63. There is CCTV coverage of entrance doors and logistical routes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64. CCTV footage is retained for a minimum of one month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65. There is an effective security barrier between the public parts of your building (s) and staff offices/storage areas, to prevent public access to staff areas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66. Security staff are consulted prior to any building alterations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67. Access to keys is strictly controlled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68. All keys are returned to a central, secure location at the end of the day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69. Electronic access is used wherever possible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70. If you use electronic access the PINs are changed: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  <w:numPr>
          <w:ilvl w:val="0"/>
          <w:numId w:val="4"/>
        </w:numPr>
      </w:pPr>
      <w:r>
        <w:t>every six months or more frequently</w:t>
      </w:r>
    </w:p>
    <w:p w:rsidR="002D2500" w:rsidRDefault="002D2500" w:rsidP="002F3666">
      <w:pPr>
        <w:pStyle w:val="NoSpacing"/>
        <w:numPr>
          <w:ilvl w:val="0"/>
          <w:numId w:val="4"/>
        </w:numPr>
      </w:pPr>
      <w:r>
        <w:t>every year</w:t>
      </w:r>
    </w:p>
    <w:p w:rsidR="002D2500" w:rsidRDefault="002D2500" w:rsidP="002F3666">
      <w:pPr>
        <w:pStyle w:val="NoSpacing"/>
        <w:numPr>
          <w:ilvl w:val="0"/>
          <w:numId w:val="4"/>
        </w:numPr>
      </w:pPr>
      <w:r>
        <w:t>every two years</w:t>
      </w:r>
    </w:p>
    <w:p w:rsidR="002D2500" w:rsidRDefault="002D2500" w:rsidP="002F3666">
      <w:pPr>
        <w:pStyle w:val="NoSpacing"/>
        <w:numPr>
          <w:ilvl w:val="0"/>
          <w:numId w:val="4"/>
        </w:numPr>
      </w:pPr>
      <w:r>
        <w:t>every three years or less frequently than this</w:t>
      </w:r>
    </w:p>
    <w:p w:rsidR="002D2500" w:rsidRDefault="002D2500" w:rsidP="002F3666">
      <w:pPr>
        <w:pStyle w:val="NoSpacing"/>
        <w:numPr>
          <w:ilvl w:val="0"/>
          <w:numId w:val="4"/>
        </w:numPr>
      </w:pPr>
      <w:r>
        <w:t>are not changed</w:t>
      </w:r>
    </w:p>
    <w:p w:rsidR="002D2500" w:rsidRDefault="002D2500" w:rsidP="002F3666">
      <w:pPr>
        <w:pStyle w:val="NoSpacing"/>
        <w:numPr>
          <w:ilvl w:val="0"/>
          <w:numId w:val="4"/>
        </w:numPr>
      </w:pPr>
      <w:r>
        <w:t>do not use PINs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71. A designated member of staff is able to reach your institution within 20 minutes if there is a security incident when the building is closed.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72. All new staff and agency workers must undergo a police check prior to employment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73. Information on your Collection Security Policy is given to all new staff as part of their induction training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74. Awareness training is delivered regularly to staff to ensure that they remain aware of their responsibility for collection security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75. If legally permitted to do so, you permanently keep a complete record allowing you to identify the items used by Individual members of staff, and staff who work in a processing department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76. Staff and departments who use collection items are audited regularly to assess their compliance with your collection security policy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77. Staff at all levels of your institution comply with your collection security policy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lastRenderedPageBreak/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78. Staff whose work involves contact with the collection have their collection security responsibilities included in their job descriptions / role profiles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79. Staff comply with recognised professional codes where appropriate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80. Staff belongings are inspected as they leave your building(s)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81. Staff and visitors to offices and storage areas must be recognisable as such by wearing an ID card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82. Staff must use the agreed retrieval procedure when they need to use items (i.e. staff do not retrieve items for their own use)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83. You carry out condition reports on collection items before and after they are exhibited; this includes a photographic record for items loaned to other institutions.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 - we do not exhibit items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84. You display collection items in secure, alarmed cases; glass should comply with your relevant national security standard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lastRenderedPageBreak/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85. Exhibition areas are patrolled by staff during open hours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86. The condition of displayed items are checked regularly while on display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87. The condition of high level displayed items is checked daily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88. The condition of displayed items is checked before (during) and after exposure.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89. You provide training to staff who act as couriers when taking items to other institutions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90. You require all request for loans to be accompanied by a facility report on the borrowing institution.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91. You agree formal, legally binding loan contracts with institutions to which you lend items; these specify the conditions under which the item will be lent and exhibited.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lastRenderedPageBreak/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92. A financial valuation is prepared for all exhibited items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93. Items are insured when exhibited at another institution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94. You have staff with specialist training in packing collection items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95. You use specialist removal contractors to transport items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96. Collection items transported to and from exhibitions are accompanied by a courier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97. You have an agreed procedure for the transport of items within your building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98. You have an agreed procedure for the transport of items between your buildings (if relevant)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2D250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p w:rsidR="002D2500" w:rsidRDefault="002D2500" w:rsidP="002F3666">
      <w:pPr>
        <w:pStyle w:val="NoSpacing"/>
      </w:pPr>
    </w:p>
    <w:p w:rsidR="002D2500" w:rsidRDefault="002D2500" w:rsidP="002F3666">
      <w:pPr>
        <w:pStyle w:val="NoSpacing"/>
      </w:pPr>
      <w:r>
        <w:t>99. You have an agreed procedure for carrying out large scale book moves</w:t>
      </w:r>
    </w:p>
    <w:p w:rsidR="002D2500" w:rsidRDefault="002D2500" w:rsidP="002F3666">
      <w:pPr>
        <w:pStyle w:val="NoSpacing"/>
      </w:pPr>
    </w:p>
    <w:p w:rsidR="002F3666" w:rsidRDefault="002F3666" w:rsidP="002F3666">
      <w:pPr>
        <w:pStyle w:val="NoSpacing"/>
        <w:numPr>
          <w:ilvl w:val="0"/>
          <w:numId w:val="3"/>
        </w:numPr>
      </w:pPr>
      <w:r>
        <w:t>Yes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No</w:t>
      </w:r>
    </w:p>
    <w:p w:rsidR="002F3666" w:rsidRDefault="002F3666" w:rsidP="002F3666">
      <w:pPr>
        <w:pStyle w:val="NoSpacing"/>
        <w:numPr>
          <w:ilvl w:val="0"/>
          <w:numId w:val="3"/>
        </w:numPr>
      </w:pPr>
      <w:r>
        <w:t>In part</w:t>
      </w:r>
    </w:p>
    <w:p w:rsidR="00FA3CA0" w:rsidRDefault="002D2500" w:rsidP="002F3666">
      <w:pPr>
        <w:pStyle w:val="NoSpacing"/>
        <w:numPr>
          <w:ilvl w:val="0"/>
          <w:numId w:val="3"/>
        </w:numPr>
      </w:pPr>
      <w:r>
        <w:t>Not relevant</w:t>
      </w:r>
    </w:p>
    <w:sectPr w:rsidR="00FA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0B7"/>
    <w:multiLevelType w:val="hybridMultilevel"/>
    <w:tmpl w:val="FDF2F6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17183"/>
    <w:multiLevelType w:val="hybridMultilevel"/>
    <w:tmpl w:val="FE386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2257C"/>
    <w:multiLevelType w:val="hybridMultilevel"/>
    <w:tmpl w:val="36141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87767"/>
    <w:multiLevelType w:val="hybridMultilevel"/>
    <w:tmpl w:val="F4DA04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A77EA"/>
    <w:multiLevelType w:val="hybridMultilevel"/>
    <w:tmpl w:val="5B5AE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D0FB0"/>
    <w:multiLevelType w:val="hybridMultilevel"/>
    <w:tmpl w:val="040483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55607"/>
    <w:multiLevelType w:val="hybridMultilevel"/>
    <w:tmpl w:val="1ABCD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00"/>
    <w:rsid w:val="00167A0C"/>
    <w:rsid w:val="002D2500"/>
    <w:rsid w:val="002F3666"/>
    <w:rsid w:val="00311077"/>
    <w:rsid w:val="00574DC9"/>
    <w:rsid w:val="0074226F"/>
    <w:rsid w:val="00813C07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3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3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1798</Words>
  <Characters>10251</Characters>
  <Application>Microsoft Office Word</Application>
  <DocSecurity>4</DocSecurity>
  <Lines>85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Kungliga biblioteket</Company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Greger Bergvall</dc:creator>
  <cp:lastModifiedBy>Marian Lefferts</cp:lastModifiedBy>
  <cp:revision>2</cp:revision>
  <cp:lastPrinted>2017-08-07T12:13:00Z</cp:lastPrinted>
  <dcterms:created xsi:type="dcterms:W3CDTF">2017-09-25T07:35:00Z</dcterms:created>
  <dcterms:modified xsi:type="dcterms:W3CDTF">2017-09-25T07:35:00Z</dcterms:modified>
</cp:coreProperties>
</file>